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sz w:val="32"/>
        </w:rPr>
        <w:t>LC</w:t>
      </w:r>
    </w:p>
    <w:p>
      <w:pPr>
        <w:pStyle w:val="Title"/>
      </w:pPr>
      <w:r>
        <w:t>Professional Services</w:t>
        <w:br/>
        <w:t>Framework and Overview</w:t>
      </w:r>
    </w:p>
    <w:p>
      <w:pPr>
        <w:pStyle w:val="Subtitle"/>
      </w:pPr>
      <w:r>
        <w:t>Non-clinical education, research, coaching, counselling, and strategic advisory services</w:t>
      </w:r>
    </w:p>
    <w:p>
      <w:r/>
    </w:p>
    <w:tbl>
      <w:tblPr>
        <w:tblW w:type="dxa" w:w="10160"/>
        <w:jc w:val="center"/>
        <w:tblLayout w:type="fixed"/>
        <w:tblLook w:firstColumn="1" w:firstRow="1" w:lastColumn="0" w:lastRow="0" w:noHBand="0" w:noVBand="1" w:val="04A0"/>
      </w:tblPr>
      <w:tblGrid>
        <w:gridCol w:w="10160"/>
      </w:tblGrid>
      <w:tr>
        <w:tc>
          <w:tcPr>
            <w:tcW w:type="dxa" w:w="10160"/>
            <w:vAlign w:val="center"/>
            <w:shd w:fill="E4F3F1"/>
          </w:tcPr>
          <w:p>
            <w:r>
              <w:rPr>
                <w:b/>
                <w:color w:val="12666B"/>
              </w:rPr>
              <w:t>PURPOSE OF THIS DOCUMENT</w:t>
              <w:br/>
            </w:r>
            <w:r>
              <w:t>This document provides a general, client-facing overview of how Longevity Consulting services are structured. It is intended for review and discussion only. It is not a signature document, does not itself retain the Provider, and does not create an obligation to purchase or provide services. Any engagement is confirmed separately through written scope and fee communications.</w:t>
            </w:r>
          </w:p>
        </w:tc>
      </w:tr>
    </w:tbl>
    <w:p>
      <w:r/>
    </w:p>
    <w:tbl>
      <w:tblPr>
        <w:tblW w:type="dxa" w:w="10160"/>
        <w:jc w:val="center"/>
        <w:tblLayout w:type="fixed"/>
        <w:tblLook w:firstColumn="1" w:firstRow="1" w:lastColumn="0" w:lastRow="0" w:noHBand="0" w:noVBand="1" w:val="04A0"/>
      </w:tblPr>
      <w:tblGrid>
        <w:gridCol w:w="10160"/>
      </w:tblGrid>
      <w:tr>
        <w:tc>
          <w:tcPr>
            <w:tcW w:type="dxa" w:w="10160"/>
            <w:vAlign w:val="center"/>
            <w:shd w:fill="FFF2CC"/>
          </w:tcPr>
          <w:p>
            <w:r>
              <w:rPr>
                <w:b/>
                <w:color w:val="12666B"/>
              </w:rPr>
              <w:t>IMPORTANT SERVICE DISTINCTION</w:t>
              <w:br/>
            </w:r>
            <w:r>
              <w:t>Services are optional and non-clinical. They are not insured medical services, are not a condition of receiving insured care, do not provide preferred access to insured care, and do not replace care from a physician or another regulated professional. No charge applies to an insured service, a constituent or common element of an insured service, access to insured care, or work not actually performed.</w:t>
            </w:r>
          </w:p>
        </w:tc>
      </w:tr>
    </w:tbl>
    <w:p>
      <w:r/>
    </w:p>
    <w:tbl>
      <w:tblPr>
        <w:tblW w:type="dxa" w:w="10160"/>
        <w:jc w:val="center"/>
        <w:tblLayout w:type="fixed"/>
        <w:tblLook w:firstColumn="1" w:firstRow="1" w:lastColumn="0" w:lastRow="0" w:noHBand="0" w:noVBand="1" w:val="04A0"/>
      </w:tblPr>
      <w:tblGrid>
        <w:gridCol w:w="2500"/>
        <w:gridCol w:w="7660"/>
      </w:tblGrid>
      <w:tr>
        <w:tc>
          <w:tcPr>
            <w:tcW w:type="dxa" w:w="2500"/>
            <w:vAlign w:val="center"/>
          </w:tcPr>
          <w:p>
            <w:r>
              <w:t>Framework</w:t>
            </w:r>
          </w:p>
        </w:tc>
        <w:tc>
          <w:tcPr>
            <w:tcW w:type="dxa" w:w="7660"/>
            <w:vAlign w:val="center"/>
          </w:tcPr>
          <w:p>
            <w:r>
              <w:t>General structure for all prospective and current clients</w:t>
            </w:r>
          </w:p>
        </w:tc>
      </w:tr>
      <w:tr>
        <w:tc>
          <w:tcPr>
            <w:tcW w:type="dxa" w:w="2500"/>
            <w:shd w:fill="EEF4F3"/>
            <w:vAlign w:val="center"/>
          </w:tcPr>
          <w:p>
            <w:r>
              <w:t>Professional fee</w:t>
            </w:r>
          </w:p>
        </w:tc>
        <w:tc>
          <w:tcPr>
            <w:tcW w:type="dxa" w:w="7660"/>
            <w:shd w:fill="EEF4F3"/>
            <w:vAlign w:val="center"/>
          </w:tcPr>
          <w:p>
            <w:r>
              <w:t>Fees are confirmed in writing before services begin</w:t>
            </w:r>
          </w:p>
        </w:tc>
      </w:tr>
      <w:tr>
        <w:tc>
          <w:tcPr>
            <w:tcW w:type="dxa" w:w="2500"/>
            <w:vAlign w:val="center"/>
          </w:tcPr>
          <w:p>
            <w:r>
              <w:t>Tax treatment</w:t>
            </w:r>
          </w:p>
        </w:tc>
        <w:tc>
          <w:tcPr>
            <w:tcW w:type="dxa" w:w="7660"/>
            <w:vAlign w:val="center"/>
          </w:tcPr>
          <w:p>
            <w:r>
              <w:t>HST is added to the professional fee and itemized separately on invoices</w:t>
            </w:r>
          </w:p>
        </w:tc>
      </w:tr>
      <w:tr>
        <w:tc>
          <w:tcPr>
            <w:tcW w:type="dxa" w:w="2500"/>
            <w:shd w:fill="EEF4F3"/>
            <w:vAlign w:val="center"/>
          </w:tcPr>
          <w:p>
            <w:r>
              <w:t>Billing basis</w:t>
            </w:r>
          </w:p>
        </w:tc>
        <w:tc>
          <w:tcPr>
            <w:tcW w:type="dxa" w:w="7660"/>
            <w:shd w:fill="EEF4F3"/>
            <w:vAlign w:val="center"/>
          </w:tcPr>
          <w:p>
            <w:r>
              <w:t>Actual, necessary, approved non-clinical work performed</w:t>
            </w:r>
          </w:p>
        </w:tc>
      </w:tr>
      <w:tr>
        <w:tc>
          <w:tcPr>
            <w:tcW w:type="dxa" w:w="2500"/>
            <w:vAlign w:val="center"/>
          </w:tcPr>
          <w:p>
            <w:r>
              <w:t>Clinical care</w:t>
            </w:r>
          </w:p>
        </w:tc>
        <w:tc>
          <w:tcPr>
            <w:tcW w:type="dxa" w:w="7660"/>
            <w:vAlign w:val="center"/>
          </w:tcPr>
          <w:p>
            <w:r>
              <w:t>Excluded and routed through appropriate regulated-care channels</w:t>
            </w:r>
          </w:p>
        </w:tc>
      </w:tr>
    </w:tbl>
    <w:p>
      <w:pPr>
        <w:pStyle w:val="SmallNote"/>
        <w:jc w:val="right"/>
      </w:pPr>
      <w:r>
        <w:t>Client information edition | Prepared 6 September 2026</w:t>
      </w:r>
    </w:p>
    <w:p>
      <w:r>
        <w:br w:type="page"/>
      </w:r>
    </w:p>
    <w:p>
      <w:pPr>
        <w:pStyle w:val="Heading1"/>
      </w:pPr>
      <w:r>
        <w:t>1. What Longevity Consulting provides</w:t>
      </w:r>
    </w:p>
    <w:p>
      <w:r>
        <w:t>Longevity Consulting offers a structured combination of education, research synthesis, coaching, reflective counselling, skills development, organization, and strategic advisory support. The work is client-led and designed to improve understanding, planning, execution, reflection, and informed decision-making across life, wellbeing, education, career, leadership, and social functioning.</w:t>
      </w:r>
    </w:p>
    <w:p>
      <w:pPr>
        <w:pStyle w:val="ListBullet"/>
      </w:pPr>
      <w:r>
        <w:t>Clients determine their own goals and remain responsible for their decisions.</w:t>
      </w:r>
    </w:p>
    <w:p>
      <w:pPr>
        <w:pStyle w:val="ListBullet"/>
      </w:pPr>
      <w:r>
        <w:t>The Provider may offer structure, questions, research summaries, options, feedback, skills practice, planning tools, and accountability.</w:t>
      </w:r>
    </w:p>
    <w:p>
      <w:pPr>
        <w:pStyle w:val="ListBullet"/>
      </w:pPr>
      <w:r>
        <w:t>Services do not include diagnosis, treatment, prescribing, psychotherapy, or personal medical decision-making.</w:t>
      </w:r>
    </w:p>
    <w:p>
      <w:pPr>
        <w:pStyle w:val="ListBullet"/>
      </w:pPr>
      <w:r>
        <w:t>Outcomes are not guaranteed; evidence, priorities, and circumstances may change.</w:t>
      </w:r>
    </w:p>
    <w:p>
      <w:pPr>
        <w:pStyle w:val="Heading1"/>
      </w:pPr>
      <w:r>
        <w:t>2. How the service relationship is structured</w:t>
      </w:r>
    </w:p>
    <w:p>
      <w:pPr>
        <w:pStyle w:val="Heading2"/>
      </w:pPr>
      <w:r>
        <w:t>Discovery and orientation</w:t>
      </w:r>
    </w:p>
    <w:p>
      <w:r>
        <w:t>Objectives, priorities, constraints, preferred working methods, relevant background, and success indicators are discussed through personal interviews and, where appropriate and authorized, team meetings.</w:t>
      </w:r>
    </w:p>
    <w:p>
      <w:pPr>
        <w:pStyle w:val="Heading2"/>
      </w:pPr>
      <w:r>
        <w:t>Scope definition</w:t>
      </w:r>
    </w:p>
    <w:p>
      <w:r>
        <w:t>Relevant service areas, intended outputs, exclusions, dependencies, timing, and communication methods are identified before substantive work begins.</w:t>
      </w:r>
    </w:p>
    <w:p>
      <w:pPr>
        <w:pStyle w:val="Heading2"/>
      </w:pPr>
      <w:r>
        <w:t>Delivery</w:t>
      </w:r>
    </w:p>
    <w:p>
      <w:r>
        <w:t>Work may include scheduled sessions, research and preparation, written briefs, planning tools, review of client-supplied non-clinical material, skills practice, and authorized meetings.</w:t>
      </w:r>
    </w:p>
    <w:p>
      <w:pPr>
        <w:pStyle w:val="Heading2"/>
      </w:pPr>
      <w:r>
        <w:t>Review and adjustment</w:t>
      </w:r>
    </w:p>
    <w:p>
      <w:r>
        <w:t>Scope and priorities are reviewed periodically. Material additions are discussed prospectively so the purpose, effort, and expected work product remain clear.</w:t>
      </w:r>
    </w:p>
    <w:p>
      <w:pPr>
        <w:pStyle w:val="Heading2"/>
      </w:pPr>
      <w:r>
        <w:t>Completion or transition</w:t>
      </w:r>
    </w:p>
    <w:p>
      <w:r>
        <w:t>The Provider summarizes completed work, identifies unfinished items, delivers final paid work product, and supports an orderly transition where appropriate.</w:t>
      </w:r>
    </w:p>
    <w:p>
      <w:pPr>
        <w:pStyle w:val="Heading1"/>
      </w:pPr>
      <w:r>
        <w:t>3. Core service areas</w:t>
      </w:r>
    </w:p>
    <w:p>
      <w:pPr>
        <w:pStyle w:val="Heading2"/>
      </w:pPr>
      <w:r>
        <w:t>3.1 Health literacy and longevity education</w:t>
      </w:r>
    </w:p>
    <w:p>
      <w:r>
        <w:t>General education on prevention, cardiometabolic health, cancer-screening concepts, brain and cognitive longevity, nutrition and gut health, strength and mobility, sleep and recovery, healthy ageing, and evidence literacy. Personal diagnosis, treatment selection, and clinical monitoring are excluded.</w:t>
      </w:r>
    </w:p>
    <w:p>
      <w:pPr>
        <w:pStyle w:val="Heading2"/>
      </w:pPr>
      <w:r>
        <w:t>3.2 Wellbeing and behaviour-change coaching</w:t>
      </w:r>
    </w:p>
    <w:p>
      <w:r>
        <w:t>Values clarification, self-selected goals, implementation intentions, routines, milestones, self-monitoring, feedback loops, environmental design, accountability, and sustainable review cycles.</w:t>
      </w:r>
    </w:p>
    <w:p>
      <w:pPr>
        <w:pStyle w:val="Heading2"/>
      </w:pPr>
      <w:r>
        <w:t>3.3 Reflective counselling and emotional support</w:t>
      </w:r>
    </w:p>
    <w:p>
      <w:r>
        <w:t>A structured, non-therapeutic space to reflect on motivation, setbacks, transitions, purpose, identity, competing priorities, stress literacy, boundaries, coping, and recovery. Psychotherapy, crisis intervention, and treatment of mental disorders are excluded.</w:t>
      </w:r>
    </w:p>
    <w:p>
      <w:pPr>
        <w:pStyle w:val="Heading2"/>
      </w:pPr>
      <w:r>
        <w:t>3.4 Information organization and personal knowledge systems</w:t>
      </w:r>
    </w:p>
    <w:p>
      <w:r>
        <w:t>Non-clinical timelines, topic indexes, question banks, resource libraries, decision logs, milestone calendars, journal templates, and neutral summaries of client-stated priorities.</w:t>
      </w:r>
    </w:p>
    <w:p>
      <w:pPr>
        <w:pStyle w:val="Heading2"/>
      </w:pPr>
      <w:r>
        <w:t>3.5 Emerging longevity research and evidence appraisal</w:t>
      </w:r>
    </w:p>
    <w:p>
      <w:r>
        <w:t>Research and plain-language appraisal of novel treatments, therapeutics, diagnostics, devices, wearables, biomarkers, imaging, and longevity technologies for general education. Work distinguishes established evidence from hypothesis, early-phase research, marketing claims, and expert opinion.</w:t>
      </w:r>
    </w:p>
    <w:p>
      <w:pPr>
        <w:pStyle w:val="Heading2"/>
      </w:pPr>
      <w:r>
        <w:t>3.6 Education and career strategy</w:t>
      </w:r>
    </w:p>
    <w:p>
      <w:r>
        <w:t>Learning and career goals, option mapping, milestones, study and work systems, professional conduct, communication, applications, interviews, presentations, and sustainable performance.</w:t>
      </w:r>
    </w:p>
    <w:p>
      <w:pPr>
        <w:pStyle w:val="Heading2"/>
      </w:pPr>
      <w:r>
        <w:t>3.7 Leadership development</w:t>
      </w:r>
    </w:p>
    <w:p>
      <w:r>
        <w:t>Role clarity, decision processes, delegation, feedback, difficult conversations, team communication, meeting effectiveness, scenario practice, stakeholder mapping, and leadership development plans.</w:t>
      </w:r>
    </w:p>
    <w:p>
      <w:pPr>
        <w:pStyle w:val="Heading2"/>
      </w:pPr>
      <w:r>
        <w:t>3.8 Social and communication skills</w:t>
      </w:r>
    </w:p>
    <w:p>
      <w:r>
        <w:t>Conversation structure, listening, perspective-taking, assertiveness, boundaries, conflict navigation, professional presence, community engagement, and client-selected practice exercises.</w:t>
      </w:r>
    </w:p>
    <w:p>
      <w:pPr>
        <w:pStyle w:val="Heading2"/>
      </w:pPr>
      <w:r>
        <w:t>3.9 Wellness routines and personal operations</w:t>
      </w:r>
    </w:p>
    <w:p>
      <w:r>
        <w:t>Daily, weekly, travel, and transition routines integrating work or study, movement, meals, sleep opportunity, recovery, relationships, reflection, calendars, checklists, and review dashboards.</w:t>
      </w:r>
    </w:p>
    <w:p>
      <w:pPr>
        <w:pStyle w:val="Heading2"/>
      </w:pPr>
      <w:r>
        <w:t>3.10 Psychological longevity and life-course development</w:t>
      </w:r>
    </w:p>
    <w:p>
      <w:r>
        <w:t>Non-clinical reflection on purpose, values, identity, adaptability, connection, lifelong learning, meaningful goals, and recognition of when regulated mental-health support may be appropriate.</w:t>
      </w:r>
    </w:p>
    <w:p>
      <w:pPr>
        <w:pStyle w:val="Heading1"/>
      </w:pPr>
      <w:r>
        <w:t>4. Typical methods and work products</w:t>
      </w:r>
    </w:p>
    <w:p>
      <w:pPr>
        <w:pStyle w:val="ListBullet"/>
      </w:pPr>
      <w:r>
        <w:t>Structured orientation and baseline goal mapping.</w:t>
      </w:r>
    </w:p>
    <w:p>
      <w:pPr>
        <w:pStyle w:val="ListBullet"/>
      </w:pPr>
      <w:r>
        <w:t>Scheduled coaching, counselling, or advisory sessions by secure video, telephone, or in person.</w:t>
      </w:r>
    </w:p>
    <w:p>
      <w:pPr>
        <w:pStyle w:val="ListBullet"/>
      </w:pPr>
      <w:r>
        <w:t>Approved asynchronous review of client-supplied non-clinical materials.</w:t>
      </w:r>
    </w:p>
    <w:p>
      <w:pPr>
        <w:pStyle w:val="ListBullet"/>
      </w:pPr>
      <w:r>
        <w:t>Targeted literature searching, critical appraisal, annotated bibliographies, evidence maps, and plain-language educational briefs.</w:t>
      </w:r>
    </w:p>
    <w:p>
      <w:pPr>
        <w:pStyle w:val="ListBullet"/>
      </w:pPr>
      <w:r>
        <w:t>Written roadmaps, implementation plans, schedules, templates, scorecards, scripts, rehearsal notes, reflection prompts, and decision-support tools.</w:t>
      </w:r>
    </w:p>
    <w:p>
      <w:pPr>
        <w:pStyle w:val="ListBullet"/>
      </w:pPr>
      <w:r>
        <w:t>Periodic progress reviews, goal revisions, and engagement summaries.</w:t>
      </w:r>
    </w:p>
    <w:p>
      <w:pPr>
        <w:pStyle w:val="ListBullet"/>
      </w:pPr>
      <w:r>
        <w:t>Authorized family, educational, workplace, or advisory meetings for a defined non-clinical purpose.</w:t>
      </w:r>
    </w:p>
    <w:tbl>
      <w:tblPr>
        <w:tblW w:type="dxa" w:w="10160"/>
        <w:jc w:val="center"/>
        <w:tblLayout w:type="fixed"/>
        <w:tblLook w:firstColumn="1" w:firstRow="1" w:lastColumn="0" w:lastRow="0" w:noHBand="0" w:noVBand="1" w:val="04A0"/>
      </w:tblPr>
      <w:tblGrid>
        <w:gridCol w:w="10160"/>
      </w:tblGrid>
      <w:tr>
        <w:tc>
          <w:tcPr>
            <w:tcW w:type="dxa" w:w="10160"/>
            <w:vAlign w:val="center"/>
            <w:shd w:fill="FFF2CC"/>
          </w:tcPr>
          <w:p>
            <w:r>
              <w:rPr>
                <w:b/>
                <w:color w:val="12666B"/>
              </w:rPr>
              <w:t>NO OPEN-ENDED OR AVAILABILITY BILLING</w:t>
              <w:br/>
            </w:r>
            <w:r>
              <w:t>Every material task must connect to a defined objective, output, or interaction. Standby time, unused capacity, general availability, marketing, unrelated education, commuting, and correction of Provider errors are not billable.</w:t>
            </w:r>
          </w:p>
        </w:tc>
      </w:tr>
    </w:tbl>
    <w:p>
      <w:r/>
    </w:p>
    <w:p>
      <w:pPr>
        <w:pStyle w:val="Heading1"/>
      </w:pPr>
      <w:r>
        <w:t>5. Evidence-informed approach</w:t>
      </w:r>
    </w:p>
    <w:p>
      <w:r>
        <w:t>The Provider generally prefers current authoritative guidance and higher-level peer-reviewed evidence, while matching research depth to the question, purpose, and approved budget. Material research outputs identify the question, search date, principal sources, relevant population, intervention or exposure, comparator, outcomes, limitations, certainty, conflicts, regulatory status, and practical uncertainty where applicable.</w:t>
      </w:r>
    </w:p>
    <w:p>
      <w:pPr>
        <w:pStyle w:val="ListBullet"/>
      </w:pPr>
      <w:r>
        <w:t>Preliminary findings are not overstated.</w:t>
      </w:r>
    </w:p>
    <w:p>
      <w:pPr>
        <w:pStyle w:val="ListBullet"/>
      </w:pPr>
      <w:r>
        <w:t>Biomarkers and surrogate outcomes are distinguished from outcomes that directly matter to people.</w:t>
      </w:r>
    </w:p>
    <w:p>
      <w:pPr>
        <w:pStyle w:val="ListBullet"/>
      </w:pPr>
      <w:r>
        <w:t>Regulatory approval is not implied when it does not exist.</w:t>
      </w:r>
    </w:p>
    <w:p>
      <w:pPr>
        <w:pStyle w:val="ListBullet"/>
      </w:pPr>
      <w:r>
        <w:t>Association is not presented as causation.</w:t>
      </w:r>
    </w:p>
    <w:p>
      <w:pPr>
        <w:pStyle w:val="ListBullet"/>
      </w:pPr>
      <w:r>
        <w:t>Extraordinary longevity claims receive heightened scrutiny.</w:t>
      </w:r>
    </w:p>
    <w:p>
      <w:pPr>
        <w:pStyle w:val="ListBullet"/>
      </w:pPr>
      <w:r>
        <w:t>AI-assisted work, if used, remains subject to human review, source checking, privacy protection, and professional accountability.</w:t>
      </w:r>
    </w:p>
    <w:p>
      <w:pPr>
        <w:pStyle w:val="Heading1"/>
      </w:pPr>
      <w:r>
        <w:t>6. Clear separation from clinical care and OHIP</w:t>
      </w:r>
    </w:p>
    <w:tbl>
      <w:tblPr>
        <w:tblW w:type="dxa" w:w="10160"/>
        <w:jc w:val="center"/>
        <w:tblLayout w:type="fixed"/>
        <w:tblLook w:firstColumn="1" w:firstRow="1" w:lastColumn="0" w:lastRow="0" w:noHBand="0" w:noVBand="1" w:val="04A0"/>
      </w:tblPr>
      <w:tblGrid>
        <w:gridCol w:w="10160"/>
      </w:tblGrid>
      <w:tr>
        <w:tc>
          <w:tcPr>
            <w:tcW w:type="dxa" w:w="10160"/>
            <w:vAlign w:val="center"/>
            <w:shd w:fill="FFF2CC"/>
          </w:tcPr>
          <w:p>
            <w:r>
              <w:rPr>
                <w:b/>
                <w:color w:val="12666B"/>
              </w:rPr>
              <w:t>THE SUBSTANCE OF THE WORK CONTROLS</w:t>
              <w:br/>
            </w:r>
            <w:r>
              <w:t>Calling work coaching, consulting, counselling, education, or research does not make it non-clinical. If a task is clinical, insured, a constituent element of insured care, or government-remunerated work in substance, it is excluded from this service and follows the appropriate clinical pathway without charge through Longevity Consulting.</w:t>
            </w:r>
          </w:p>
        </w:tc>
      </w:tr>
    </w:tbl>
    <w:p>
      <w:r/>
    </w:p>
    <w:p>
      <w:pPr>
        <w:pStyle w:val="ListBullet"/>
      </w:pPr>
      <w:r>
        <w:t>No assessment, diagnosis, treatment, prescribing, referral, test ordering, personal-result interpretation for care, psychotherapy, or clinical monitoring is provided through this framework.</w:t>
      </w:r>
    </w:p>
    <w:p>
      <w:pPr>
        <w:pStyle w:val="ListBullet"/>
      </w:pPr>
      <w:r>
        <w:t>No fee purchases faster access, preferential access, a queue position, after-hours clinical access, access to the Provider as a physician, or access to insured care.</w:t>
      </w:r>
    </w:p>
    <w:p>
      <w:pPr>
        <w:pStyle w:val="ListBullet"/>
      </w:pPr>
      <w:r>
        <w:t>Participation, non-participation, payment, non-payment, complaints, or ending services does not affect insured care or clinical judgment.</w:t>
      </w:r>
    </w:p>
    <w:p>
      <w:pPr>
        <w:pStyle w:val="ListBullet"/>
      </w:pPr>
      <w:r>
        <w:t>Symptoms, diagnoses, medications, test results, referrals, treatment decisions, and monitoring are routed to the client’s own regulated health professionals.</w:t>
      </w:r>
    </w:p>
    <w:p>
      <w:pPr>
        <w:pStyle w:val="ListBullet"/>
      </w:pPr>
      <w:r>
        <w:t>Clinical and non-clinical appointments, agendas, records, communications, invoices, and decisions are separated where applicable.</w:t>
      </w:r>
    </w:p>
    <w:p>
      <w:pPr>
        <w:pStyle w:val="ListBullet"/>
      </w:pPr>
      <w:r>
        <w:t>If a proposed task may be clinical or insured, it is paused, declined, or redirected unless its lawful non-clinical status is reasonably established.</w:t>
      </w:r>
    </w:p>
    <w:p>
      <w:pPr>
        <w:pStyle w:val="Heading1"/>
      </w:pPr>
      <w:r>
        <w:t>7. Canada Health Act and Ontario compliance</w:t>
      </w:r>
    </w:p>
    <w:p>
      <w:r>
        <w:t>The framework is intended to operate consistently with the Canada Health Act, Ontario’s Health Insurance Act, the Commitment to the Future of Medicare Act, 2004, applicable regulations, the OHIP Schedule of Benefits, and relevant professional obligations. Fees are not consideration for an insured health service, access to an insured health service, or a service supplied as a condition or necessary accompaniment to insured care. Any practice that would constitute or facilitate extra-billing, a user charge, or a barrier to insured care is prohibited and must be corrected or refunded if discovered.</w:t>
      </w:r>
    </w:p>
    <w:p>
      <w:pPr>
        <w:pStyle w:val="Heading1"/>
      </w:pPr>
      <w:r>
        <w:t>8. Fees, HST, invoicing, and records</w:t>
      </w:r>
    </w:p>
    <w:tbl>
      <w:tblPr>
        <w:tblW w:type="dxa" w:w="10160"/>
        <w:jc w:val="center"/>
        <w:tblLayout w:type="fixed"/>
        <w:tblLook w:firstColumn="1" w:firstRow="1" w:lastColumn="0" w:lastRow="0" w:noHBand="0" w:noVBand="1" w:val="04A0"/>
      </w:tblPr>
      <w:tblGrid>
        <w:gridCol w:w="2500"/>
        <w:gridCol w:w="7660"/>
      </w:tblGrid>
      <w:tr>
        <w:tc>
          <w:tcPr>
            <w:tcW w:type="dxa" w:w="2500"/>
            <w:shd w:fill="082A31"/>
            <w:vAlign w:val="center"/>
          </w:tcPr>
          <w:p>
            <w:r>
              <w:rPr>
                <w:b/>
                <w:color w:val="FFFFFF"/>
                <w:sz w:val="16"/>
              </w:rPr>
              <w:t>Item</w:t>
            </w:r>
          </w:p>
        </w:tc>
        <w:tc>
          <w:tcPr>
            <w:tcW w:type="dxa" w:w="7660"/>
            <w:shd w:fill="082A31"/>
            <w:vAlign w:val="center"/>
          </w:tcPr>
          <w:p>
            <w:r>
              <w:rPr>
                <w:b/>
                <w:color w:val="FFFFFF"/>
                <w:sz w:val="16"/>
              </w:rPr>
              <w:t>General approach</w:t>
            </w:r>
          </w:p>
        </w:tc>
      </w:tr>
      <w:tr>
        <w:tc>
          <w:tcPr>
            <w:tcW w:type="dxa" w:w="2500"/>
            <w:shd w:fill="EEF4F3"/>
            <w:vAlign w:val="center"/>
          </w:tcPr>
          <w:p>
            <w:r>
              <w:t>Professional fee</w:t>
            </w:r>
          </w:p>
        </w:tc>
        <w:tc>
          <w:tcPr>
            <w:tcW w:type="dxa" w:w="7660"/>
            <w:shd w:fill="EEF4F3"/>
            <w:vAlign w:val="center"/>
          </w:tcPr>
          <w:p>
            <w:r>
              <w:t>Fees are confirmed in writing before services begin</w:t>
            </w:r>
          </w:p>
        </w:tc>
      </w:tr>
      <w:tr>
        <w:tc>
          <w:tcPr>
            <w:tcW w:type="dxa" w:w="2500"/>
            <w:vAlign w:val="center"/>
          </w:tcPr>
          <w:p>
            <w:r>
              <w:t>HST</w:t>
            </w:r>
          </w:p>
        </w:tc>
        <w:tc>
          <w:tcPr>
            <w:tcW w:type="dxa" w:w="7660"/>
            <w:vAlign w:val="center"/>
          </w:tcPr>
          <w:p>
            <w:r>
              <w:t>Added on top of the professional fee and itemized separately on every invoice</w:t>
            </w:r>
          </w:p>
        </w:tc>
      </w:tr>
      <w:tr>
        <w:tc>
          <w:tcPr>
            <w:tcW w:type="dxa" w:w="2500"/>
            <w:shd w:fill="EEF4F3"/>
            <w:vAlign w:val="center"/>
          </w:tcPr>
          <w:p>
            <w:r>
              <w:t>Billable work</w:t>
            </w:r>
          </w:p>
        </w:tc>
        <w:tc>
          <w:tcPr>
            <w:tcW w:type="dxa" w:w="7660"/>
            <w:shd w:fill="EEF4F3"/>
            <w:vAlign w:val="center"/>
          </w:tcPr>
          <w:p>
            <w:r>
              <w:t>Actual time reasonably required for approved direct and indirect non-clinical work</w:t>
            </w:r>
          </w:p>
        </w:tc>
      </w:tr>
      <w:tr>
        <w:tc>
          <w:tcPr>
            <w:tcW w:type="dxa" w:w="2500"/>
            <w:vAlign w:val="center"/>
          </w:tcPr>
          <w:p>
            <w:r>
              <w:t>Invoice detail</w:t>
            </w:r>
          </w:p>
        </w:tc>
        <w:tc>
          <w:tcPr>
            <w:tcW w:type="dxa" w:w="7660"/>
            <w:vAlign w:val="center"/>
          </w:tcPr>
          <w:p>
            <w:r>
              <w:t>Date, task description, time, rate, professional fee, HST, total, and related objective or work product</w:t>
            </w:r>
          </w:p>
        </w:tc>
      </w:tr>
      <w:tr>
        <w:tc>
          <w:tcPr>
            <w:tcW w:type="dxa" w:w="2500"/>
            <w:shd w:fill="EEF4F3"/>
            <w:vAlign w:val="center"/>
          </w:tcPr>
          <w:p>
            <w:r>
              <w:t>Expenses</w:t>
            </w:r>
          </w:p>
        </w:tc>
        <w:tc>
          <w:tcPr>
            <w:tcW w:type="dxa" w:w="7660"/>
            <w:shd w:fill="EEF4F3"/>
            <w:vAlign w:val="center"/>
          </w:tcPr>
          <w:p>
            <w:r>
              <w:t>Only prospectively approved and documented third-party costs; no undisclosed markup</w:t>
            </w:r>
          </w:p>
        </w:tc>
      </w:tr>
      <w:tr>
        <w:tc>
          <w:tcPr>
            <w:tcW w:type="dxa" w:w="2500"/>
            <w:vAlign w:val="center"/>
          </w:tcPr>
          <w:p>
            <w:r>
              <w:t>Review</w:t>
            </w:r>
          </w:p>
        </w:tc>
        <w:tc>
          <w:tcPr>
            <w:tcW w:type="dxa" w:w="7660"/>
            <w:vAlign w:val="center"/>
          </w:tcPr>
          <w:p>
            <w:r>
              <w:t>Questions and apparent errors are reviewed in good faith; errors are corrected</w:t>
            </w:r>
          </w:p>
        </w:tc>
      </w:tr>
    </w:tbl>
    <w:p>
      <w:r>
        <w:t>The rate is disclosed in advance and reflects the Provider’s expertise, the complexity and intensity of selected services, research and preparation, and the value of defined work product. Reasonableness remains engagement-specific. Where physician uninsured-service requirements apply, applicable obligations concerning reasonableness, ability to pay, advance disclosure, fee guidance, itemized invoices, and compassionate flexibility continue to govern.</w:t>
      </w:r>
    </w:p>
    <w:p>
      <w:pPr>
        <w:pStyle w:val="Heading1"/>
      </w:pPr>
      <w:r>
        <w:t>9. Communications, privacy, and records</w:t>
      </w:r>
    </w:p>
    <w:p>
      <w:pPr>
        <w:pStyle w:val="ListBullet"/>
      </w:pPr>
      <w:r>
        <w:t>Only information reasonably necessary for the engagement is requested.</w:t>
      </w:r>
    </w:p>
    <w:p>
      <w:pPr>
        <w:pStyle w:val="ListBullet"/>
      </w:pPr>
      <w:r>
        <w:t>Applicable privacy law depends on role, entity, purpose, and information flow; appropriate safeguards are applied.</w:t>
      </w:r>
    </w:p>
    <w:p>
      <w:pPr>
        <w:pStyle w:val="ListBullet"/>
      </w:pPr>
      <w:r>
        <w:t>Secure communication methods are preferred for sensitive information. Ordinary email may carry interception, misdirection, metadata, delay, and device-access risks.</w:t>
      </w:r>
    </w:p>
    <w:p>
      <w:pPr>
        <w:pStyle w:val="ListBullet"/>
      </w:pPr>
      <w:r>
        <w:t>Electronic channels are not continuously monitored and must not be used for emergencies.</w:t>
      </w:r>
    </w:p>
    <w:p>
      <w:pPr>
        <w:pStyle w:val="ListBullet"/>
      </w:pPr>
      <w:r>
        <w:t>Information is not shared with family, employers, schools, clinicians, or other participants without appropriate authorization, except as permitted or required by law.</w:t>
      </w:r>
    </w:p>
    <w:p>
      <w:pPr>
        <w:pStyle w:val="ListBullet"/>
      </w:pPr>
      <w:r>
        <w:t>Engagement records may include scope communications, authorizations, service notes, research files, work product, time records, invoices, and complaints.</w:t>
      </w:r>
    </w:p>
    <w:p>
      <w:pPr>
        <w:pStyle w:val="ListBullet"/>
      </w:pPr>
      <w:r>
        <w:t>Identifiable or sensitive information is not entered into third-party AI tools unless lawful, necessary, appropriately protected, and specifically consented to where required.</w:t>
      </w:r>
    </w:p>
    <w:p>
      <w:pPr>
        <w:pStyle w:val="Heading1"/>
      </w:pPr>
      <w:r>
        <w:t>10. Boundaries, conflicts, safety, and independence</w:t>
      </w:r>
    </w:p>
    <w:p>
      <w:pPr>
        <w:pStyle w:val="ListBullet"/>
      </w:pPr>
      <w:r>
        <w:t>The Provider maintains interpersonal, financial, social, and business boundaries and does not exploit dependency, trust, vulnerability, or a physician-patient power imbalance.</w:t>
      </w:r>
    </w:p>
    <w:p>
      <w:pPr>
        <w:pStyle w:val="ListBullet"/>
      </w:pPr>
      <w:r>
        <w:t>Actual, potential, and reasonably perceived conflicts are disclosed and managed. Unmanageable conflicts require work to be declined or stopped.</w:t>
      </w:r>
    </w:p>
    <w:p>
      <w:pPr>
        <w:pStyle w:val="ListBullet"/>
      </w:pPr>
      <w:r>
        <w:t>No undisclosed referral fees, commissions, gifts, equity benefits, or compensation connected to a discussed product or service are accepted.</w:t>
      </w:r>
    </w:p>
    <w:p>
      <w:pPr>
        <w:pStyle w:val="ListBullet"/>
      </w:pPr>
      <w:r>
        <w:t>The default is no sale at a profit of supplements, diagnostics, devices, therapeutics, or health products to clients.</w:t>
      </w:r>
    </w:p>
    <w:p>
      <w:pPr>
        <w:pStyle w:val="ListBullet"/>
      </w:pPr>
      <w:r>
        <w:t>If information suggests imminent danger, abuse, incapacity, severe deterioration, or need for regulated or emergency intervention, services may pause and appropriate safety steps may be recommended or taken where legally required.</w:t>
      </w:r>
    </w:p>
    <w:p>
      <w:pPr>
        <w:pStyle w:val="ListBullet"/>
      </w:pPr>
      <w:r>
        <w:t>Confidentiality remains subject to consent, legal compulsion, mandatory reporting, risk-of-harm exceptions, professional duties, payment administration, and other lawful exceptions.</w:t>
      </w:r>
    </w:p>
    <w:p>
      <w:pPr>
        <w:pStyle w:val="Heading1"/>
      </w:pPr>
      <w:r>
        <w:t>11. Additional safeguards where a client is also a patient</w:t>
      </w:r>
    </w:p>
    <w:p>
      <w:r>
        <w:t>A current or prior physician-patient relationship creates additional power, boundary, and conflict risks. In that situation, the Provider applies enhanced separation and voluntariness safeguards.</w:t>
      </w:r>
    </w:p>
    <w:p>
      <w:pPr>
        <w:pStyle w:val="ListBullet"/>
      </w:pPr>
      <w:r>
        <w:t>The client is told that services are optional and declining them will not affect insured care.</w:t>
      </w:r>
    </w:p>
    <w:p>
      <w:pPr>
        <w:pStyle w:val="ListBullet"/>
      </w:pPr>
      <w:r>
        <w:t>Paid non-clinical services are distinguished from insured and other available options.</w:t>
      </w:r>
    </w:p>
    <w:p>
      <w:pPr>
        <w:pStyle w:val="ListBullet"/>
      </w:pPr>
      <w:r>
        <w:t>Services are not promoted through pressure, dependency, urgent illness, or implied advantage.</w:t>
      </w:r>
    </w:p>
    <w:p>
      <w:pPr>
        <w:pStyle w:val="ListBullet"/>
      </w:pPr>
      <w:r>
        <w:t>Clinical and non-clinical scheduling, records, communication, invoicing, and decision-making are separated.</w:t>
      </w:r>
    </w:p>
    <w:p>
      <w:pPr>
        <w:pStyle w:val="ListBullet"/>
      </w:pPr>
      <w:r>
        <w:t>No charge applies to symptoms, assessment, diagnosis, treatment, prescribing, referrals, test ordering, personal-result interpretation, monitoring, or constituent elements of care.</w:t>
      </w:r>
    </w:p>
    <w:p>
      <w:pPr>
        <w:pStyle w:val="ListBullet"/>
      </w:pPr>
      <w:r>
        <w:t>Vulnerability, capacity, voluntariness, proportionality, conflicts, and financial boundaries receive heightened review.</w:t>
      </w:r>
    </w:p>
    <w:p>
      <w:pPr>
        <w:pStyle w:val="ListBullet"/>
      </w:pPr>
      <w:r>
        <w:t>Independent legal or financial advice and a cooling-off period may be recommended where circumstances warrant.</w:t>
      </w:r>
    </w:p>
    <w:p>
      <w:pPr>
        <w:pStyle w:val="Heading1"/>
      </w:pPr>
      <w:r>
        <w:t>12. Client responsibilities</w:t>
      </w:r>
    </w:p>
    <w:p>
      <w:pPr>
        <w:pStyle w:val="ListBullet"/>
      </w:pPr>
      <w:r>
        <w:t>Provide accurate information and correct misunderstandings.</w:t>
      </w:r>
    </w:p>
    <w:p>
      <w:pPr>
        <w:pStyle w:val="ListBullet"/>
      </w:pPr>
      <w:r>
        <w:t>Maintain appropriate medical, mental-health, legal, financial, educational, and employment advisers.</w:t>
      </w:r>
    </w:p>
    <w:p>
      <w:pPr>
        <w:pStyle w:val="ListBullet"/>
      </w:pPr>
      <w:r>
        <w:t>Make independent decisions and obtain regulated advice before acting on educational or coaching information.</w:t>
      </w:r>
    </w:p>
    <w:p>
      <w:pPr>
        <w:pStyle w:val="ListBullet"/>
      </w:pPr>
      <w:r>
        <w:t>Attend planned sessions, review work product, provide feedback, and communicate material changes.</w:t>
      </w:r>
    </w:p>
    <w:p>
      <w:pPr>
        <w:pStyle w:val="ListBullet"/>
      </w:pPr>
      <w:r>
        <w:t>Use agreed secure channels and report suspected privacy incidents.</w:t>
      </w:r>
    </w:p>
    <w:p>
      <w:pPr>
        <w:pStyle w:val="ListBullet"/>
      </w:pPr>
      <w:r>
        <w:t>Do not record sessions or distribute confidential materials without consent.</w:t>
      </w:r>
    </w:p>
    <w:p>
      <w:pPr>
        <w:pStyle w:val="ListBullet"/>
      </w:pPr>
      <w:r>
        <w:t>Use emergency services for urgent concerns; Longevity Consulting is not an emergency or continuously monitored service.</w:t>
      </w:r>
    </w:p>
    <w:p>
      <w:pPr>
        <w:pStyle w:val="Heading1"/>
      </w:pPr>
      <w:r>
        <w:t>13. Review, concerns, and ending services</w:t>
      </w:r>
    </w:p>
    <w:p>
      <w:r>
        <w:t>Clients may ask questions about scope, time entries, invoices, deliverables, privacy, or service quality. Concerns are reviewed in good faith and errors are corrected where warranted. Clients may stop non-clinical services without affecting insured care. The Provider may decline, pause, or end work for non-payment, boundary violations, abusive conduct, conflicts, loss of competence, unlawful requests, safety concerns, or breakdown of the working relationship, with reasonable notice where possible.</w:t>
      </w:r>
    </w:p>
    <w:p>
      <w:pPr>
        <w:pStyle w:val="Heading1"/>
      </w:pPr>
      <w:r>
        <w:t>14. Evidence and quality reference framework</w:t>
      </w:r>
    </w:p>
    <w:p>
      <w:r>
        <w:t>Methods may draw on research concerning health and wellness coaching, workplace and leadership coaching, implementation intentions, social connection, behaviour change, reflective practice, experiential learning, self-monitoring, feedback, skills practice, and accountability. Evidence is heterogeneous and does not guarantee outcomes for any individual.</w:t>
      </w:r>
    </w:p>
    <w:p>
      <w:pPr>
        <w:pStyle w:val="ListBullet"/>
      </w:pPr>
      <w:r>
        <w:t>Ahmann E, et al. Health and Wellness Coaching and Sustained Gains: A Rapid Systematic Review. American Journal of Lifestyle Medicine. 2024.</w:t>
      </w:r>
    </w:p>
    <w:p>
      <w:pPr>
        <w:pStyle w:val="ListBullet"/>
      </w:pPr>
      <w:r>
        <w:t>Boehmer KR, et al. The impact of health and wellness coaching on patient-important outcomes in chronic illness care: a systematic review and meta-analysis. Patient Education and Counseling.</w:t>
      </w:r>
    </w:p>
    <w:p>
      <w:pPr>
        <w:pStyle w:val="ListBullet"/>
      </w:pPr>
      <w:r>
        <w:t>Jones RJ, et al. Workplace coaching: a meta-analysis and recommendations for advancing the science of coaching. Frontiers in Psychology. 2023.</w:t>
      </w:r>
    </w:p>
    <w:p>
      <w:pPr>
        <w:pStyle w:val="ListBullet"/>
      </w:pPr>
      <w:r>
        <w:t>Gollwitzer PM, Sheeran P. Implementation intentions and goal achievement: a meta-analysis of effects and processes. Advances in Experimental Social Psychology. 2006.</w:t>
      </w:r>
    </w:p>
    <w:p>
      <w:pPr>
        <w:pStyle w:val="ListBullet"/>
      </w:pPr>
      <w:r>
        <w:t>Keller L, et al. The when and how of planning: meta-analysis of implementation intentions in 642 tests. European Review of Social Psychology. 2024.</w:t>
      </w:r>
    </w:p>
    <w:p>
      <w:pPr>
        <w:pStyle w:val="ListBullet"/>
      </w:pPr>
      <w:r>
        <w:t>Eccles AM, et al. Tackling social disconnection: an umbrella review of randomized-trial-based interventions. BMC Public Health. 2024.</w:t>
      </w:r>
    </w:p>
    <w:p>
      <w:pPr>
        <w:pStyle w:val="ListBullet"/>
      </w:pPr>
      <w:r>
        <w:t>College of Physicians and Surgeons of Ontario. Current policies and advice concerning uninsured services, billing, boundaries, privacy, advertising, and the physician-patient relationship.</w:t>
      </w:r>
    </w:p>
    <w:p>
      <w:pPr>
        <w:pStyle w:val="ListBullet"/>
      </w:pPr>
      <w:r>
        <w:t>Ontario. Health Insurance Act; Commitment to the Future of Medicare Act, 2004; Regulation 552; and current OHIP Schedule of Benefits.</w:t>
      </w:r>
    </w:p>
    <w:p>
      <w:pPr>
        <w:pStyle w:val="ListBullet"/>
      </w:pPr>
      <w:r>
        <w:t>Canada. Canada Health Act and Extra-billing and User Charges Information Regulations.</w:t>
      </w:r>
    </w:p>
    <w:tbl>
      <w:tblPr>
        <w:tblW w:type="dxa" w:w="10160"/>
        <w:jc w:val="center"/>
        <w:tblLayout w:type="fixed"/>
        <w:tblLook w:firstColumn="1" w:firstRow="1" w:lastColumn="0" w:lastRow="0" w:noHBand="0" w:noVBand="1" w:val="04A0"/>
      </w:tblPr>
      <w:tblGrid>
        <w:gridCol w:w="10160"/>
      </w:tblGrid>
      <w:tr>
        <w:tc>
          <w:tcPr>
            <w:tcW w:type="dxa" w:w="10160"/>
            <w:vAlign w:val="center"/>
            <w:shd w:fill="E4F3F1"/>
          </w:tcPr>
          <w:p>
            <w:r>
              <w:rPr>
                <w:b/>
                <w:color w:val="12666B"/>
              </w:rPr>
              <w:t>SUMMARY</w:t>
              <w:br/>
            </w:r>
            <w:r>
              <w:t>Longevity Consulting provides optional, structured, non-clinical education, research, coaching, counselling, organization, and strategic advisory services. Work is scoped, documented, invoiced with applicable HST itemized, and kept separate from insured or clinical care. This overview is designed to support an informed discussion; it is not a signature document or a substitute for client-specific scope confirmation.</w:t>
            </w:r>
          </w:p>
        </w:tc>
      </w:tr>
    </w:tbl>
    <w:p>
      <w:r/>
    </w:p>
    <w:sectPr w:rsidR="00FC693F" w:rsidRPr="0006063C" w:rsidSect="00034616">
      <w:headerReference w:type="default" r:id="rId9"/>
      <w:footerReference w:type="default" r:id="rId10"/>
      <w:pgSz w:w="12240" w:h="15840"/>
      <w:pgMar w:top="979" w:right="1037" w:bottom="1008" w:left="1037"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757A"/>
        <w:sz w:val="14"/>
      </w:rPr>
      <w:t xml:space="preserve">CONFIDENTIAL — CLIENT INFORMATION OVERVIEW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60"/>
      <w:jc w:val="center"/>
      <w:tblLayout w:type="fixed"/>
      <w:tblLook w:firstColumn="1" w:firstRow="1" w:lastColumn="0" w:lastRow="0" w:noHBand="0" w:noVBand="1" w:val="04A0"/>
    </w:tblPr>
    <w:tblGrid>
      <w:gridCol w:w="6300"/>
      <w:gridCol w:w="3860"/>
    </w:tblGrid>
    <w:tr>
      <w:tc>
        <w:tcPr>
          <w:tcW w:type="dxa" w:w="6300"/>
          <w:vAlign w:val="center"/>
          <w:shd w:fill="EEF4F3"/>
        </w:tcPr>
        <w:p>
          <w:pPr>
            <w:jc w:val="left"/>
          </w:pPr>
          <w:r>
            <w:rPr>
              <w:rFonts w:ascii="Arial" w:hAnsi="Arial"/>
              <w:b/>
              <w:color w:val="12666B"/>
              <w:sz w:val="15"/>
            </w:rPr>
            <w:t>LONGEVITY CONSULTING</w:t>
          </w:r>
        </w:p>
      </w:tc>
      <w:tc>
        <w:tcPr>
          <w:tcW w:type="dxa" w:w="3860"/>
          <w:vAlign w:val="center"/>
          <w:shd w:fill="EEF4F3"/>
        </w:tcPr>
        <w:p>
          <w:pPr>
            <w:jc w:val="right"/>
          </w:pPr>
          <w:r>
            <w:rPr>
              <w:rFonts w:ascii="Arial" w:hAnsi="Arial"/>
              <w:b/>
              <w:color w:val="12666B"/>
              <w:sz w:val="15"/>
            </w:rPr>
            <w:t>PROFESSIONAL SERVICES FRAMEWORK | ONTARIO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082A3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12666B"/>
      <w:sz w:val="34"/>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rial" w:hAnsi="Arial"/>
      <w:b/>
      <w:bCs/>
      <w:color w:val="12666B"/>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12666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82A31"/>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1266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432" w:hanging="245"/>
      <w:contextualSpacing/>
    </w:pPr>
    <w:rPr>
      <w:rFonts w:ascii="Arial" w:hAnsi="Arial"/>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432" w:hanging="245"/>
      <w:contextualSpacing/>
    </w:pPr>
    <w:rPr>
      <w:rFonts w:ascii="Arial" w:hAnsi="Arial"/>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475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Longevity Consulting Professional Services Framework and Overview</dc:title>
  <dc:subject>Client-facing overview of non-clinical professional services in Ontario</dc:subject>
  <dc:creator>Longevity Consulting</dc:creator>
  <cp:keywords/>
  <dc:description>General client information document; not a signature agreement.</dc:description>
  <cp:lastModifiedBy/>
  <cp:revision>1</cp:revision>
  <dcterms:created xsi:type="dcterms:W3CDTF">2013-12-23T23:15:00Z</dcterms:created>
  <dcterms:modified xsi:type="dcterms:W3CDTF">2013-12-23T23:15:00Z</dcterms:modified>
  <cp:category/>
</cp:coreProperties>
</file>